
<file path=[Content_Types].xml><?xml version="1.0" encoding="utf-8"?>
<Types xmlns="http://schemas.openxmlformats.org/package/2006/content-types">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2523"/>
      </w:tblGrid>
      <w:tr w:rsidR="006C32AE" w14:paraId="418C989D" w14:textId="77777777" w:rsidTr="00F3393C">
        <w:tc>
          <w:tcPr>
            <w:tcW w:w="8075" w:type="dxa"/>
            <w:vAlign w:val="center"/>
          </w:tcPr>
          <w:p w14:paraId="7C011667" w14:textId="4B378F6E" w:rsidR="006C32AE" w:rsidRPr="00CA7470" w:rsidRDefault="006C32AE" w:rsidP="00650FB9">
            <w:pPr>
              <w:spacing w:after="80"/>
              <w:rPr>
                <w:b/>
                <w:bCs/>
                <w:color w:val="2F5496" w:themeColor="accent1" w:themeShade="BF"/>
                <w:sz w:val="40"/>
                <w:szCs w:val="40"/>
                <w:u w:val="single"/>
              </w:rPr>
            </w:pPr>
            <w:r w:rsidRPr="00CA7470">
              <w:rPr>
                <w:b/>
                <w:bCs/>
                <w:color w:val="2F5496" w:themeColor="accent1" w:themeShade="BF"/>
                <w:sz w:val="40"/>
                <w:szCs w:val="40"/>
              </w:rPr>
              <w:t xml:space="preserve">Third Sector Trends </w:t>
            </w:r>
            <w:r w:rsidR="00E844CB" w:rsidRPr="00CA7470">
              <w:rPr>
                <w:b/>
                <w:bCs/>
                <w:color w:val="2F5496" w:themeColor="accent1" w:themeShade="BF"/>
                <w:sz w:val="40"/>
                <w:szCs w:val="40"/>
              </w:rPr>
              <w:t xml:space="preserve">in </w:t>
            </w:r>
            <w:r w:rsidR="00B3534B">
              <w:rPr>
                <w:b/>
                <w:bCs/>
                <w:color w:val="2F5496" w:themeColor="accent1" w:themeShade="BF"/>
                <w:sz w:val="40"/>
                <w:szCs w:val="40"/>
              </w:rPr>
              <w:t>North East England 2022</w:t>
            </w:r>
          </w:p>
        </w:tc>
        <w:tc>
          <w:tcPr>
            <w:tcW w:w="2523" w:type="dxa"/>
            <w:tcBorders>
              <w:left w:val="nil"/>
            </w:tcBorders>
          </w:tcPr>
          <w:p w14:paraId="50C570FE" w14:textId="252555A2" w:rsidR="006C32AE" w:rsidRDefault="006C32AE" w:rsidP="00B51EA2">
            <w:pPr>
              <w:spacing w:after="80"/>
              <w:rPr>
                <w:b/>
                <w:bCs/>
                <w:color w:val="2F5496" w:themeColor="accent1" w:themeShade="BF"/>
                <w:sz w:val="44"/>
                <w:szCs w:val="44"/>
              </w:rPr>
            </w:pPr>
            <w:r w:rsidRPr="006C32AE">
              <w:rPr>
                <w:b/>
                <w:bCs/>
                <w:noProof/>
                <w:color w:val="2F5496" w:themeColor="accent1" w:themeShade="BF"/>
                <w:sz w:val="44"/>
                <w:szCs w:val="44"/>
              </w:rPr>
              <w:drawing>
                <wp:inline distT="0" distB="0" distL="0" distR="0" wp14:anchorId="2452F2DB" wp14:editId="5F823F23">
                  <wp:extent cx="1398304" cy="630606"/>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27013" cy="643553"/>
                          </a:xfrm>
                          <a:prstGeom prst="rect">
                            <a:avLst/>
                          </a:prstGeom>
                        </pic:spPr>
                      </pic:pic>
                    </a:graphicData>
                  </a:graphic>
                </wp:inline>
              </w:drawing>
            </w:r>
          </w:p>
        </w:tc>
      </w:tr>
    </w:tbl>
    <w:p w14:paraId="7DC59028" w14:textId="77777777" w:rsidR="00B51EA2" w:rsidRDefault="00B51EA2" w:rsidP="00B51EA2">
      <w:pPr>
        <w:spacing w:after="80"/>
        <w:rPr>
          <w:b/>
          <w:bCs/>
        </w:rPr>
      </w:pPr>
    </w:p>
    <w:p w14:paraId="3125B421" w14:textId="77777777" w:rsidR="006C32AE" w:rsidRDefault="006C32AE" w:rsidP="00B51EA2">
      <w:pPr>
        <w:spacing w:after="80"/>
        <w:rPr>
          <w:b/>
          <w:bCs/>
          <w:sz w:val="28"/>
          <w:szCs w:val="28"/>
        </w:rPr>
        <w:sectPr w:rsidR="006C32AE" w:rsidSect="00890055">
          <w:pgSz w:w="11906" w:h="16838"/>
          <w:pgMar w:top="720" w:right="720" w:bottom="720" w:left="720" w:header="708" w:footer="708" w:gutter="0"/>
          <w:cols w:space="708"/>
          <w:docGrid w:linePitch="360"/>
        </w:sectPr>
      </w:pPr>
    </w:p>
    <w:p w14:paraId="26B3D75E" w14:textId="15F54786" w:rsidR="00056C7E" w:rsidRPr="007E7CE1" w:rsidRDefault="00056C7E" w:rsidP="00B51EA2">
      <w:pPr>
        <w:spacing w:after="80"/>
        <w:rPr>
          <w:b/>
          <w:bCs/>
          <w:color w:val="2F5496" w:themeColor="accent1" w:themeShade="BF"/>
          <w:sz w:val="32"/>
          <w:szCs w:val="32"/>
        </w:rPr>
      </w:pPr>
      <w:r w:rsidRPr="007E7CE1">
        <w:rPr>
          <w:b/>
          <w:bCs/>
          <w:color w:val="2F5496" w:themeColor="accent1" w:themeShade="BF"/>
          <w:sz w:val="32"/>
          <w:szCs w:val="32"/>
        </w:rPr>
        <w:t>What is the study about?</w:t>
      </w:r>
    </w:p>
    <w:p w14:paraId="5D68D36C" w14:textId="1E55B0B7" w:rsidR="00037B15" w:rsidRDefault="00387562" w:rsidP="00037B15">
      <w:pPr>
        <w:spacing w:after="80"/>
        <w:rPr>
          <w:sz w:val="20"/>
          <w:szCs w:val="20"/>
        </w:rPr>
      </w:pPr>
      <w:r w:rsidRPr="006C32AE">
        <w:rPr>
          <w:sz w:val="20"/>
          <w:szCs w:val="20"/>
        </w:rPr>
        <w:t xml:space="preserve">Third Sector Trends </w:t>
      </w:r>
      <w:r w:rsidR="00E844CB">
        <w:rPr>
          <w:sz w:val="20"/>
          <w:szCs w:val="20"/>
        </w:rPr>
        <w:t>is the longest running study of the voluntary, community and social enterprise (VCSE) sector in the UK. I</w:t>
      </w:r>
      <w:r w:rsidR="005632AE">
        <w:rPr>
          <w:sz w:val="20"/>
          <w:szCs w:val="20"/>
        </w:rPr>
        <w:t xml:space="preserve">n </w:t>
      </w:r>
      <w:r w:rsidR="00F664DF">
        <w:rPr>
          <w:sz w:val="20"/>
          <w:szCs w:val="20"/>
        </w:rPr>
        <w:t>North East England</w:t>
      </w:r>
      <w:r w:rsidR="00404BEE">
        <w:rPr>
          <w:sz w:val="20"/>
          <w:szCs w:val="20"/>
        </w:rPr>
        <w:t>,</w:t>
      </w:r>
      <w:r w:rsidR="00E844CB">
        <w:rPr>
          <w:sz w:val="20"/>
          <w:szCs w:val="20"/>
        </w:rPr>
        <w:t xml:space="preserve"> </w:t>
      </w:r>
      <w:r w:rsidR="008426ED">
        <w:rPr>
          <w:sz w:val="20"/>
          <w:szCs w:val="20"/>
        </w:rPr>
        <w:t xml:space="preserve">where the study began, </w:t>
      </w:r>
      <w:r w:rsidR="00E844CB">
        <w:rPr>
          <w:sz w:val="20"/>
          <w:szCs w:val="20"/>
        </w:rPr>
        <w:t xml:space="preserve">baseline </w:t>
      </w:r>
      <w:r w:rsidR="005632AE">
        <w:rPr>
          <w:sz w:val="20"/>
          <w:szCs w:val="20"/>
        </w:rPr>
        <w:t xml:space="preserve">studies were completed </w:t>
      </w:r>
      <w:r w:rsidR="00E844CB">
        <w:rPr>
          <w:sz w:val="20"/>
          <w:szCs w:val="20"/>
        </w:rPr>
        <w:t>in 20</w:t>
      </w:r>
      <w:r w:rsidR="00F664DF">
        <w:rPr>
          <w:sz w:val="20"/>
          <w:szCs w:val="20"/>
        </w:rPr>
        <w:t>08</w:t>
      </w:r>
      <w:r w:rsidR="00E844CB">
        <w:rPr>
          <w:sz w:val="20"/>
          <w:szCs w:val="20"/>
        </w:rPr>
        <w:t xml:space="preserve">. </w:t>
      </w:r>
      <w:r w:rsidR="00F664DF">
        <w:rPr>
          <w:sz w:val="20"/>
          <w:szCs w:val="20"/>
        </w:rPr>
        <w:t>Regular s</w:t>
      </w:r>
      <w:r w:rsidR="00E844CB">
        <w:rPr>
          <w:sz w:val="20"/>
          <w:szCs w:val="20"/>
        </w:rPr>
        <w:t xml:space="preserve">urveys have </w:t>
      </w:r>
      <w:r w:rsidR="005632AE">
        <w:rPr>
          <w:sz w:val="20"/>
          <w:szCs w:val="20"/>
        </w:rPr>
        <w:t>taken</w:t>
      </w:r>
      <w:r w:rsidR="00F246CE">
        <w:rPr>
          <w:sz w:val="20"/>
          <w:szCs w:val="20"/>
        </w:rPr>
        <w:t xml:space="preserve"> place </w:t>
      </w:r>
      <w:r w:rsidR="008426ED">
        <w:rPr>
          <w:sz w:val="20"/>
          <w:szCs w:val="20"/>
        </w:rPr>
        <w:t xml:space="preserve">since </w:t>
      </w:r>
      <w:r w:rsidR="00E844CB">
        <w:rPr>
          <w:sz w:val="20"/>
          <w:szCs w:val="20"/>
        </w:rPr>
        <w:t>201</w:t>
      </w:r>
      <w:r w:rsidR="00F664DF">
        <w:rPr>
          <w:sz w:val="20"/>
          <w:szCs w:val="20"/>
        </w:rPr>
        <w:t>0</w:t>
      </w:r>
      <w:r w:rsidR="00E844CB">
        <w:rPr>
          <w:sz w:val="20"/>
          <w:szCs w:val="20"/>
        </w:rPr>
        <w:t>. The study collected well over 3</w:t>
      </w:r>
      <w:r w:rsidR="00F246CE">
        <w:rPr>
          <w:sz w:val="20"/>
          <w:szCs w:val="20"/>
        </w:rPr>
        <w:t>,</w:t>
      </w:r>
      <w:r w:rsidR="005632AE">
        <w:rPr>
          <w:sz w:val="20"/>
          <w:szCs w:val="20"/>
        </w:rPr>
        <w:t>250</w:t>
      </w:r>
      <w:r w:rsidR="00F246CE">
        <w:rPr>
          <w:sz w:val="20"/>
          <w:szCs w:val="20"/>
        </w:rPr>
        <w:t xml:space="preserve"> responses </w:t>
      </w:r>
      <w:r w:rsidR="00E844CB">
        <w:rPr>
          <w:sz w:val="20"/>
          <w:szCs w:val="20"/>
        </w:rPr>
        <w:t xml:space="preserve">across the North of England </w:t>
      </w:r>
      <w:r w:rsidR="00F246CE">
        <w:rPr>
          <w:sz w:val="20"/>
          <w:szCs w:val="20"/>
        </w:rPr>
        <w:t>in 2019.</w:t>
      </w:r>
      <w:r w:rsidR="00037B15" w:rsidRPr="00037B15">
        <w:rPr>
          <w:sz w:val="20"/>
          <w:szCs w:val="20"/>
        </w:rPr>
        <w:t xml:space="preserve"> </w:t>
      </w:r>
    </w:p>
    <w:p w14:paraId="151B214D" w14:textId="5193070B" w:rsidR="00037B15" w:rsidRPr="000A40CB" w:rsidRDefault="00E844CB" w:rsidP="00037B15">
      <w:pPr>
        <w:spacing w:after="80"/>
        <w:rPr>
          <w:sz w:val="20"/>
          <w:szCs w:val="20"/>
        </w:rPr>
      </w:pPr>
      <w:r>
        <w:rPr>
          <w:sz w:val="20"/>
          <w:szCs w:val="20"/>
        </w:rPr>
        <w:t>Third Sector Trends</w:t>
      </w:r>
      <w:r w:rsidR="00037B15">
        <w:rPr>
          <w:sz w:val="20"/>
          <w:szCs w:val="20"/>
        </w:rPr>
        <w:t xml:space="preserve"> complements Charity Commission, NCVO Civil Society Almanac and 360Giving data to produce robust estimates on </w:t>
      </w:r>
      <w:r w:rsidR="00037B15" w:rsidRPr="006C32AE">
        <w:rPr>
          <w:sz w:val="20"/>
          <w:szCs w:val="20"/>
        </w:rPr>
        <w:t>employment, volunteering, sector finance and assets</w:t>
      </w:r>
      <w:r w:rsidR="00037B15">
        <w:rPr>
          <w:sz w:val="20"/>
          <w:szCs w:val="20"/>
        </w:rPr>
        <w:t>. The study then looks at how the ‘</w:t>
      </w:r>
      <w:r w:rsidR="00037B15" w:rsidRPr="006C32AE">
        <w:rPr>
          <w:sz w:val="20"/>
          <w:szCs w:val="20"/>
        </w:rPr>
        <w:t>energy</w:t>
      </w:r>
      <w:r w:rsidR="00037B15">
        <w:rPr>
          <w:sz w:val="20"/>
          <w:szCs w:val="20"/>
        </w:rPr>
        <w:t>’</w:t>
      </w:r>
      <w:r w:rsidR="00037B15" w:rsidRPr="006C32AE">
        <w:rPr>
          <w:sz w:val="20"/>
          <w:szCs w:val="20"/>
        </w:rPr>
        <w:t xml:space="preserve"> the sector has at its disposal </w:t>
      </w:r>
      <w:r w:rsidR="00037B15">
        <w:rPr>
          <w:sz w:val="20"/>
          <w:szCs w:val="20"/>
        </w:rPr>
        <w:t>is applied to local causes</w:t>
      </w:r>
      <w:r w:rsidR="00037B15" w:rsidRPr="006C32AE">
        <w:rPr>
          <w:sz w:val="20"/>
          <w:szCs w:val="20"/>
        </w:rPr>
        <w:t xml:space="preserve">. </w:t>
      </w:r>
    </w:p>
    <w:p w14:paraId="3F6B31BE" w14:textId="31199A4F" w:rsidR="00037B15" w:rsidRPr="006C32AE" w:rsidRDefault="00037B15" w:rsidP="00037B15">
      <w:pPr>
        <w:spacing w:after="80"/>
        <w:rPr>
          <w:sz w:val="20"/>
          <w:szCs w:val="20"/>
        </w:rPr>
      </w:pPr>
      <w:r w:rsidRPr="006C32AE">
        <w:rPr>
          <w:sz w:val="20"/>
          <w:szCs w:val="20"/>
        </w:rPr>
        <w:t xml:space="preserve">Even though this is a large-scale study, its principal purpose is to study the </w:t>
      </w:r>
      <w:r>
        <w:rPr>
          <w:sz w:val="20"/>
          <w:szCs w:val="20"/>
        </w:rPr>
        <w:t xml:space="preserve">structure, </w:t>
      </w:r>
      <w:r w:rsidRPr="006C32AE">
        <w:rPr>
          <w:sz w:val="20"/>
          <w:szCs w:val="20"/>
        </w:rPr>
        <w:t xml:space="preserve">dynamics and impact of the ‘local’ </w:t>
      </w:r>
      <w:r w:rsidR="005556E5">
        <w:rPr>
          <w:sz w:val="20"/>
          <w:szCs w:val="20"/>
        </w:rPr>
        <w:t>VCSE</w:t>
      </w:r>
      <w:r w:rsidRPr="006C32AE">
        <w:rPr>
          <w:sz w:val="20"/>
          <w:szCs w:val="20"/>
        </w:rPr>
        <w:t xml:space="preserve"> sector. </w:t>
      </w:r>
      <w:r>
        <w:rPr>
          <w:sz w:val="20"/>
          <w:szCs w:val="20"/>
        </w:rPr>
        <w:t>O</w:t>
      </w:r>
      <w:r w:rsidRPr="006C32AE">
        <w:rPr>
          <w:sz w:val="20"/>
          <w:szCs w:val="20"/>
        </w:rPr>
        <w:t xml:space="preserve">nly by looking at several areas, is it possible to understand individual localities </w:t>
      </w:r>
      <w:r>
        <w:rPr>
          <w:sz w:val="20"/>
          <w:szCs w:val="20"/>
        </w:rPr>
        <w:t>properly</w:t>
      </w:r>
      <w:r w:rsidRPr="006C32AE">
        <w:rPr>
          <w:sz w:val="20"/>
          <w:szCs w:val="20"/>
        </w:rPr>
        <w:t>.</w:t>
      </w:r>
    </w:p>
    <w:p w14:paraId="0BACDDB0" w14:textId="3B104987" w:rsidR="00037B15" w:rsidRDefault="00F246CE" w:rsidP="00037B15">
      <w:pPr>
        <w:spacing w:after="80"/>
        <w:rPr>
          <w:sz w:val="20"/>
          <w:szCs w:val="20"/>
        </w:rPr>
      </w:pPr>
      <w:r>
        <w:rPr>
          <w:sz w:val="20"/>
          <w:szCs w:val="20"/>
        </w:rPr>
        <w:t xml:space="preserve">Over the years, </w:t>
      </w:r>
      <w:r w:rsidR="00953A77" w:rsidRPr="006C32AE">
        <w:rPr>
          <w:sz w:val="20"/>
          <w:szCs w:val="20"/>
        </w:rPr>
        <w:t xml:space="preserve">study </w:t>
      </w:r>
      <w:r w:rsidR="00387562" w:rsidRPr="006C32AE">
        <w:rPr>
          <w:sz w:val="20"/>
          <w:szCs w:val="20"/>
        </w:rPr>
        <w:t xml:space="preserve">has been supported by a </w:t>
      </w:r>
      <w:r w:rsidR="00953A77" w:rsidRPr="006C32AE">
        <w:rPr>
          <w:sz w:val="20"/>
          <w:szCs w:val="20"/>
        </w:rPr>
        <w:t xml:space="preserve">range </w:t>
      </w:r>
      <w:r w:rsidR="00387562" w:rsidRPr="006C32AE">
        <w:rPr>
          <w:sz w:val="20"/>
          <w:szCs w:val="20"/>
        </w:rPr>
        <w:t xml:space="preserve">of funders including </w:t>
      </w:r>
      <w:r w:rsidR="00E14177" w:rsidRPr="00FB62A8">
        <w:rPr>
          <w:b/>
          <w:bCs/>
          <w:i/>
          <w:iCs/>
          <w:color w:val="2F5496" w:themeColor="accent1" w:themeShade="BF"/>
          <w:sz w:val="20"/>
          <w:szCs w:val="20"/>
        </w:rPr>
        <w:t>Community Foundation Tyne &amp; Wear and Northumberland</w:t>
      </w:r>
      <w:r w:rsidR="00F664DF">
        <w:rPr>
          <w:b/>
          <w:bCs/>
          <w:i/>
          <w:iCs/>
          <w:color w:val="2F5496" w:themeColor="accent1" w:themeShade="BF"/>
          <w:sz w:val="20"/>
          <w:szCs w:val="20"/>
        </w:rPr>
        <w:t>,</w:t>
      </w:r>
      <w:r w:rsidR="00F664DF" w:rsidRPr="00E14177">
        <w:rPr>
          <w:b/>
          <w:bCs/>
          <w:i/>
          <w:iCs/>
          <w:color w:val="2F5496" w:themeColor="accent1" w:themeShade="BF"/>
          <w:sz w:val="20"/>
          <w:szCs w:val="20"/>
        </w:rPr>
        <w:t xml:space="preserve"> </w:t>
      </w:r>
      <w:r w:rsidR="00F664DF">
        <w:rPr>
          <w:b/>
          <w:bCs/>
          <w:i/>
          <w:iCs/>
          <w:color w:val="2F5496" w:themeColor="accent1" w:themeShade="BF"/>
          <w:sz w:val="20"/>
          <w:szCs w:val="20"/>
        </w:rPr>
        <w:t>Northern Rock Foundation</w:t>
      </w:r>
      <w:r w:rsidR="00E14177">
        <w:rPr>
          <w:b/>
          <w:bCs/>
          <w:i/>
          <w:iCs/>
          <w:color w:val="2F5496" w:themeColor="accent1" w:themeShade="BF"/>
          <w:sz w:val="20"/>
          <w:szCs w:val="20"/>
        </w:rPr>
        <w:t xml:space="preserve">, </w:t>
      </w:r>
      <w:r w:rsidR="00F664DF">
        <w:rPr>
          <w:b/>
          <w:bCs/>
          <w:i/>
          <w:iCs/>
          <w:color w:val="2F5496" w:themeColor="accent1" w:themeShade="BF"/>
          <w:sz w:val="20"/>
          <w:szCs w:val="20"/>
        </w:rPr>
        <w:t xml:space="preserve">Millfield House Foundation, </w:t>
      </w:r>
      <w:r w:rsidR="00F664DF" w:rsidRPr="00FB62A8">
        <w:rPr>
          <w:b/>
          <w:bCs/>
          <w:i/>
          <w:iCs/>
          <w:color w:val="2F5496" w:themeColor="accent1" w:themeShade="BF"/>
          <w:sz w:val="20"/>
          <w:szCs w:val="20"/>
        </w:rPr>
        <w:t>Garfield Weston</w:t>
      </w:r>
      <w:r w:rsidR="00F664DF">
        <w:rPr>
          <w:b/>
          <w:bCs/>
          <w:i/>
          <w:iCs/>
          <w:color w:val="2F5496" w:themeColor="accent1" w:themeShade="BF"/>
          <w:sz w:val="20"/>
          <w:szCs w:val="20"/>
        </w:rPr>
        <w:t>, Joseph Rowntree Foundation</w:t>
      </w:r>
      <w:r w:rsidR="00F664DF" w:rsidRPr="00FB62A8">
        <w:rPr>
          <w:b/>
          <w:bCs/>
          <w:i/>
          <w:iCs/>
          <w:color w:val="2F5496" w:themeColor="accent1" w:themeShade="BF"/>
          <w:sz w:val="20"/>
          <w:szCs w:val="20"/>
        </w:rPr>
        <w:t xml:space="preserve">, </w:t>
      </w:r>
      <w:r w:rsidR="00F664DF">
        <w:rPr>
          <w:b/>
          <w:bCs/>
          <w:i/>
          <w:iCs/>
          <w:color w:val="2F5496" w:themeColor="accent1" w:themeShade="BF"/>
          <w:sz w:val="20"/>
          <w:szCs w:val="20"/>
        </w:rPr>
        <w:t xml:space="preserve">Power to Change, </w:t>
      </w:r>
      <w:r w:rsidR="00E14177">
        <w:rPr>
          <w:b/>
          <w:bCs/>
          <w:i/>
          <w:iCs/>
          <w:color w:val="2F5496" w:themeColor="accent1" w:themeShade="BF"/>
          <w:sz w:val="20"/>
          <w:szCs w:val="20"/>
        </w:rPr>
        <w:t xml:space="preserve">Charity Bank, Barrow Cadbury Trust </w:t>
      </w:r>
      <w:r w:rsidR="00953A77" w:rsidRPr="00FB62A8">
        <w:rPr>
          <w:b/>
          <w:bCs/>
          <w:i/>
          <w:iCs/>
          <w:color w:val="2F5496" w:themeColor="accent1" w:themeShade="BF"/>
          <w:sz w:val="20"/>
          <w:szCs w:val="20"/>
        </w:rPr>
        <w:t>Sport England</w:t>
      </w:r>
      <w:r w:rsidR="00D21F52">
        <w:rPr>
          <w:b/>
          <w:bCs/>
          <w:i/>
          <w:iCs/>
          <w:color w:val="2F5496" w:themeColor="accent1" w:themeShade="BF"/>
          <w:sz w:val="20"/>
          <w:szCs w:val="20"/>
        </w:rPr>
        <w:t xml:space="preserve"> </w:t>
      </w:r>
      <w:r w:rsidR="00FB62A8">
        <w:rPr>
          <w:sz w:val="20"/>
          <w:szCs w:val="20"/>
        </w:rPr>
        <w:t>together with several local authorities</w:t>
      </w:r>
      <w:r>
        <w:rPr>
          <w:sz w:val="20"/>
          <w:szCs w:val="20"/>
        </w:rPr>
        <w:t>, combined authorities</w:t>
      </w:r>
      <w:r w:rsidR="00FB62A8">
        <w:rPr>
          <w:sz w:val="20"/>
          <w:szCs w:val="20"/>
        </w:rPr>
        <w:t xml:space="preserve"> and </w:t>
      </w:r>
      <w:r w:rsidR="00037B15">
        <w:rPr>
          <w:sz w:val="20"/>
          <w:szCs w:val="20"/>
        </w:rPr>
        <w:t xml:space="preserve">the </w:t>
      </w:r>
      <w:r>
        <w:rPr>
          <w:sz w:val="20"/>
          <w:szCs w:val="20"/>
        </w:rPr>
        <w:t>NHS</w:t>
      </w:r>
      <w:r w:rsidR="00037B15">
        <w:rPr>
          <w:sz w:val="20"/>
          <w:szCs w:val="20"/>
        </w:rPr>
        <w:t>.</w:t>
      </w:r>
      <w:r w:rsidR="00037B15" w:rsidRPr="00037B15">
        <w:rPr>
          <w:sz w:val="20"/>
          <w:szCs w:val="20"/>
        </w:rPr>
        <w:t xml:space="preserve"> </w:t>
      </w:r>
    </w:p>
    <w:p w14:paraId="55ED8769" w14:textId="09473445" w:rsidR="00037B15" w:rsidRPr="006C32AE" w:rsidRDefault="00037B15" w:rsidP="00037B15">
      <w:pPr>
        <w:spacing w:after="80"/>
        <w:rPr>
          <w:sz w:val="20"/>
          <w:szCs w:val="20"/>
        </w:rPr>
      </w:pPr>
      <w:r w:rsidRPr="000A40CB">
        <w:rPr>
          <w:sz w:val="20"/>
          <w:szCs w:val="20"/>
        </w:rPr>
        <w:t xml:space="preserve">Third Sector Trends is independent and impartial. </w:t>
      </w:r>
      <w:r w:rsidRPr="006C32AE">
        <w:rPr>
          <w:sz w:val="20"/>
          <w:szCs w:val="20"/>
        </w:rPr>
        <w:t>As such it aims to provide objective interpretation of rigorously collected data to serve the interests of the voluntary sector, local public and health sector, the Lottery, charitable trusts and foundations and businesses.</w:t>
      </w:r>
    </w:p>
    <w:p w14:paraId="6E4A4815" w14:textId="32BC4883" w:rsidR="00056C7E" w:rsidRPr="006C32AE" w:rsidRDefault="00056C7E" w:rsidP="00B51EA2">
      <w:pPr>
        <w:spacing w:after="80"/>
        <w:rPr>
          <w:sz w:val="8"/>
          <w:szCs w:val="8"/>
        </w:rPr>
      </w:pPr>
    </w:p>
    <w:p w14:paraId="7C369F3B" w14:textId="02A25E4A" w:rsidR="00056C7E" w:rsidRPr="007E7CE1" w:rsidRDefault="00056C7E" w:rsidP="00B51EA2">
      <w:pPr>
        <w:spacing w:after="80"/>
        <w:rPr>
          <w:b/>
          <w:bCs/>
          <w:color w:val="2F5496" w:themeColor="accent1" w:themeShade="BF"/>
          <w:sz w:val="32"/>
          <w:szCs w:val="32"/>
        </w:rPr>
      </w:pPr>
      <w:r w:rsidRPr="007E7CE1">
        <w:rPr>
          <w:b/>
          <w:bCs/>
          <w:color w:val="2F5496" w:themeColor="accent1" w:themeShade="BF"/>
          <w:sz w:val="32"/>
          <w:szCs w:val="32"/>
        </w:rPr>
        <w:t xml:space="preserve">What evidence does </w:t>
      </w:r>
      <w:r w:rsidR="000D46AB" w:rsidRPr="007E7CE1">
        <w:rPr>
          <w:b/>
          <w:bCs/>
          <w:color w:val="2F5496" w:themeColor="accent1" w:themeShade="BF"/>
          <w:sz w:val="32"/>
          <w:szCs w:val="32"/>
        </w:rPr>
        <w:t xml:space="preserve">the study </w:t>
      </w:r>
      <w:r w:rsidRPr="007E7CE1">
        <w:rPr>
          <w:b/>
          <w:bCs/>
          <w:color w:val="2F5496" w:themeColor="accent1" w:themeShade="BF"/>
          <w:sz w:val="32"/>
          <w:szCs w:val="32"/>
        </w:rPr>
        <w:t>collect?</w:t>
      </w:r>
    </w:p>
    <w:p w14:paraId="3EB5FFB5" w14:textId="573FC6A1" w:rsidR="00E05841" w:rsidRPr="006C32AE" w:rsidRDefault="00E05841" w:rsidP="00B51EA2">
      <w:pPr>
        <w:spacing w:after="80"/>
        <w:rPr>
          <w:sz w:val="20"/>
          <w:szCs w:val="20"/>
        </w:rPr>
      </w:pPr>
      <w:r w:rsidRPr="006C32AE">
        <w:rPr>
          <w:sz w:val="20"/>
          <w:szCs w:val="20"/>
        </w:rPr>
        <w:t xml:space="preserve">The survey has a core </w:t>
      </w:r>
      <w:r w:rsidR="005556E5">
        <w:rPr>
          <w:sz w:val="20"/>
          <w:szCs w:val="20"/>
        </w:rPr>
        <w:t xml:space="preserve">set </w:t>
      </w:r>
      <w:r w:rsidRPr="006C32AE">
        <w:rPr>
          <w:sz w:val="20"/>
          <w:szCs w:val="20"/>
        </w:rPr>
        <w:t>of questions which never change to ensure comparability. But in each round of the research, there is space to explore contemporary issues. The 2022 survey has, for example, specific focus on the following issues:</w:t>
      </w:r>
    </w:p>
    <w:p w14:paraId="50FA493B" w14:textId="5EE01A56" w:rsidR="00B51EA2" w:rsidRPr="002F4A7E" w:rsidRDefault="00B51EA2" w:rsidP="00FB62A8">
      <w:pPr>
        <w:pStyle w:val="ListParagraph"/>
        <w:numPr>
          <w:ilvl w:val="0"/>
          <w:numId w:val="5"/>
        </w:numPr>
        <w:spacing w:after="80"/>
        <w:ind w:left="284" w:right="-211" w:hanging="284"/>
        <w:contextualSpacing w:val="0"/>
        <w:rPr>
          <w:sz w:val="20"/>
          <w:szCs w:val="20"/>
        </w:rPr>
      </w:pPr>
      <w:r w:rsidRPr="002F4A7E">
        <w:rPr>
          <w:sz w:val="20"/>
          <w:szCs w:val="20"/>
        </w:rPr>
        <w:t>The extent to which the Covid pandemic has reshaped and refocused VCSE sector activity.</w:t>
      </w:r>
    </w:p>
    <w:p w14:paraId="21681C31" w14:textId="0BC41BA3" w:rsidR="00E05841" w:rsidRPr="002F4A7E" w:rsidRDefault="00E05841" w:rsidP="00FB62A8">
      <w:pPr>
        <w:pStyle w:val="ListParagraph"/>
        <w:numPr>
          <w:ilvl w:val="0"/>
          <w:numId w:val="5"/>
        </w:numPr>
        <w:spacing w:after="80"/>
        <w:ind w:left="284" w:right="-211" w:hanging="284"/>
        <w:contextualSpacing w:val="0"/>
        <w:rPr>
          <w:sz w:val="20"/>
          <w:szCs w:val="20"/>
        </w:rPr>
      </w:pPr>
      <w:r w:rsidRPr="002F4A7E">
        <w:rPr>
          <w:sz w:val="20"/>
          <w:szCs w:val="20"/>
        </w:rPr>
        <w:t xml:space="preserve">The </w:t>
      </w:r>
      <w:r w:rsidR="00B51EA2" w:rsidRPr="002F4A7E">
        <w:rPr>
          <w:sz w:val="20"/>
          <w:szCs w:val="20"/>
        </w:rPr>
        <w:t xml:space="preserve">positive </w:t>
      </w:r>
      <w:r w:rsidRPr="002F4A7E">
        <w:rPr>
          <w:sz w:val="20"/>
          <w:szCs w:val="20"/>
        </w:rPr>
        <w:t>role the VCSE</w:t>
      </w:r>
      <w:r w:rsidR="00CA09CA" w:rsidRPr="002F4A7E">
        <w:rPr>
          <w:sz w:val="20"/>
          <w:szCs w:val="20"/>
        </w:rPr>
        <w:t xml:space="preserve"> sector</w:t>
      </w:r>
      <w:r w:rsidRPr="002F4A7E">
        <w:rPr>
          <w:sz w:val="20"/>
          <w:szCs w:val="20"/>
        </w:rPr>
        <w:t xml:space="preserve"> </w:t>
      </w:r>
      <w:r w:rsidR="00B51EA2" w:rsidRPr="002F4A7E">
        <w:rPr>
          <w:sz w:val="20"/>
          <w:szCs w:val="20"/>
        </w:rPr>
        <w:t>can</w:t>
      </w:r>
      <w:r w:rsidRPr="002F4A7E">
        <w:rPr>
          <w:sz w:val="20"/>
          <w:szCs w:val="20"/>
        </w:rPr>
        <w:t xml:space="preserve"> </w:t>
      </w:r>
      <w:r w:rsidR="005556E5" w:rsidRPr="002F4A7E">
        <w:rPr>
          <w:sz w:val="20"/>
          <w:szCs w:val="20"/>
        </w:rPr>
        <w:t xml:space="preserve">play in </w:t>
      </w:r>
      <w:r w:rsidRPr="002F4A7E">
        <w:rPr>
          <w:sz w:val="20"/>
          <w:szCs w:val="20"/>
        </w:rPr>
        <w:t>‘levelling up’</w:t>
      </w:r>
      <w:r w:rsidR="007E7CE1" w:rsidRPr="002F4A7E">
        <w:rPr>
          <w:sz w:val="20"/>
          <w:szCs w:val="20"/>
        </w:rPr>
        <w:t xml:space="preserve">, </w:t>
      </w:r>
      <w:r w:rsidR="00B51EA2" w:rsidRPr="002F4A7E">
        <w:rPr>
          <w:sz w:val="20"/>
          <w:szCs w:val="20"/>
        </w:rPr>
        <w:t xml:space="preserve">‘localism’ </w:t>
      </w:r>
      <w:r w:rsidR="007E7CE1" w:rsidRPr="002F4A7E">
        <w:rPr>
          <w:sz w:val="20"/>
          <w:szCs w:val="20"/>
        </w:rPr>
        <w:t xml:space="preserve">and ‘community wealth building’ </w:t>
      </w:r>
      <w:r w:rsidRPr="002F4A7E">
        <w:rPr>
          <w:sz w:val="20"/>
          <w:szCs w:val="20"/>
        </w:rPr>
        <w:t>agenda</w:t>
      </w:r>
      <w:r w:rsidR="00B51EA2" w:rsidRPr="002F4A7E">
        <w:rPr>
          <w:sz w:val="20"/>
          <w:szCs w:val="20"/>
        </w:rPr>
        <w:t>s</w:t>
      </w:r>
      <w:r w:rsidRPr="002F4A7E">
        <w:rPr>
          <w:sz w:val="20"/>
          <w:szCs w:val="20"/>
        </w:rPr>
        <w:t>.</w:t>
      </w:r>
    </w:p>
    <w:p w14:paraId="2254D2D4" w14:textId="558722A1" w:rsidR="00E05841" w:rsidRPr="002F4A7E" w:rsidRDefault="00E05841" w:rsidP="00FB62A8">
      <w:pPr>
        <w:pStyle w:val="ListParagraph"/>
        <w:numPr>
          <w:ilvl w:val="0"/>
          <w:numId w:val="5"/>
        </w:numPr>
        <w:spacing w:after="80"/>
        <w:ind w:left="284" w:right="-211" w:hanging="284"/>
        <w:contextualSpacing w:val="0"/>
        <w:rPr>
          <w:sz w:val="20"/>
          <w:szCs w:val="20"/>
        </w:rPr>
      </w:pPr>
      <w:r w:rsidRPr="002F4A7E">
        <w:rPr>
          <w:sz w:val="20"/>
          <w:szCs w:val="20"/>
        </w:rPr>
        <w:t xml:space="preserve">The contribution the VCSE </w:t>
      </w:r>
      <w:r w:rsidR="00CA09CA" w:rsidRPr="002F4A7E">
        <w:rPr>
          <w:sz w:val="20"/>
          <w:szCs w:val="20"/>
        </w:rPr>
        <w:t xml:space="preserve">sector </w:t>
      </w:r>
      <w:r w:rsidRPr="002F4A7E">
        <w:rPr>
          <w:sz w:val="20"/>
          <w:szCs w:val="20"/>
        </w:rPr>
        <w:t>can make to public health and, specifically, healthy life expectancy.</w:t>
      </w:r>
    </w:p>
    <w:p w14:paraId="792AF54A" w14:textId="7D64E56C" w:rsidR="00E05841" w:rsidRPr="002F4A7E" w:rsidRDefault="005556E5" w:rsidP="00FB62A8">
      <w:pPr>
        <w:pStyle w:val="ListParagraph"/>
        <w:numPr>
          <w:ilvl w:val="0"/>
          <w:numId w:val="5"/>
        </w:numPr>
        <w:spacing w:after="80"/>
        <w:ind w:left="284" w:right="-211" w:hanging="284"/>
        <w:contextualSpacing w:val="0"/>
        <w:rPr>
          <w:sz w:val="20"/>
          <w:szCs w:val="20"/>
        </w:rPr>
      </w:pPr>
      <w:r w:rsidRPr="002F4A7E">
        <w:rPr>
          <w:sz w:val="20"/>
          <w:szCs w:val="20"/>
        </w:rPr>
        <w:t>How the VCSE help</w:t>
      </w:r>
      <w:r w:rsidR="007E7CE1" w:rsidRPr="002F4A7E">
        <w:rPr>
          <w:sz w:val="20"/>
          <w:szCs w:val="20"/>
        </w:rPr>
        <w:t>s</w:t>
      </w:r>
      <w:r w:rsidRPr="002F4A7E">
        <w:rPr>
          <w:sz w:val="20"/>
          <w:szCs w:val="20"/>
        </w:rPr>
        <w:t xml:space="preserve"> to secure e</w:t>
      </w:r>
      <w:r w:rsidR="00E05841" w:rsidRPr="002F4A7E">
        <w:rPr>
          <w:sz w:val="20"/>
          <w:szCs w:val="20"/>
        </w:rPr>
        <w:t>conomic and social wellbeing</w:t>
      </w:r>
      <w:r w:rsidRPr="002F4A7E">
        <w:rPr>
          <w:sz w:val="20"/>
          <w:szCs w:val="20"/>
        </w:rPr>
        <w:t xml:space="preserve"> in localities</w:t>
      </w:r>
      <w:r w:rsidR="00E05841" w:rsidRPr="002F4A7E">
        <w:rPr>
          <w:sz w:val="20"/>
          <w:szCs w:val="20"/>
        </w:rPr>
        <w:t>.</w:t>
      </w:r>
    </w:p>
    <w:p w14:paraId="2BEEB53B" w14:textId="41BF7218" w:rsidR="00890055" w:rsidRPr="006C32AE" w:rsidRDefault="00890055" w:rsidP="00B51EA2">
      <w:pPr>
        <w:spacing w:after="80"/>
        <w:rPr>
          <w:sz w:val="8"/>
          <w:szCs w:val="8"/>
        </w:rPr>
      </w:pPr>
    </w:p>
    <w:p w14:paraId="6888DEE1" w14:textId="29F4FB35" w:rsidR="00890055" w:rsidRPr="007E7CE1" w:rsidRDefault="00890055" w:rsidP="00B51EA2">
      <w:pPr>
        <w:spacing w:after="80"/>
        <w:rPr>
          <w:b/>
          <w:bCs/>
          <w:color w:val="2F5496" w:themeColor="accent1" w:themeShade="BF"/>
          <w:sz w:val="32"/>
          <w:szCs w:val="32"/>
        </w:rPr>
      </w:pPr>
      <w:r w:rsidRPr="007E7CE1">
        <w:rPr>
          <w:b/>
          <w:bCs/>
          <w:color w:val="2F5496" w:themeColor="accent1" w:themeShade="BF"/>
          <w:sz w:val="32"/>
          <w:szCs w:val="32"/>
        </w:rPr>
        <w:t xml:space="preserve">How </w:t>
      </w:r>
      <w:r w:rsidR="005556E5" w:rsidRPr="007E7CE1">
        <w:rPr>
          <w:b/>
          <w:bCs/>
          <w:color w:val="2F5496" w:themeColor="accent1" w:themeShade="BF"/>
          <w:sz w:val="32"/>
          <w:szCs w:val="32"/>
        </w:rPr>
        <w:t>are t</w:t>
      </w:r>
      <w:r w:rsidRPr="007E7CE1">
        <w:rPr>
          <w:b/>
          <w:bCs/>
          <w:color w:val="2F5496" w:themeColor="accent1" w:themeShade="BF"/>
          <w:sz w:val="32"/>
          <w:szCs w:val="32"/>
        </w:rPr>
        <w:t xml:space="preserve">he </w:t>
      </w:r>
      <w:r w:rsidR="005556E5" w:rsidRPr="007E7CE1">
        <w:rPr>
          <w:b/>
          <w:bCs/>
          <w:color w:val="2F5496" w:themeColor="accent1" w:themeShade="BF"/>
          <w:sz w:val="32"/>
          <w:szCs w:val="32"/>
        </w:rPr>
        <w:t>findings</w:t>
      </w:r>
      <w:r w:rsidRPr="007E7CE1">
        <w:rPr>
          <w:b/>
          <w:bCs/>
          <w:color w:val="2F5496" w:themeColor="accent1" w:themeShade="BF"/>
          <w:sz w:val="32"/>
          <w:szCs w:val="32"/>
        </w:rPr>
        <w:t xml:space="preserve"> used?</w:t>
      </w:r>
    </w:p>
    <w:p w14:paraId="53B3294E" w14:textId="08F9F1CC" w:rsidR="00EF25A4" w:rsidRDefault="00890055" w:rsidP="00B51EA2">
      <w:pPr>
        <w:spacing w:after="80"/>
        <w:rPr>
          <w:sz w:val="20"/>
          <w:szCs w:val="20"/>
        </w:rPr>
      </w:pPr>
      <w:r w:rsidRPr="006C32AE">
        <w:rPr>
          <w:sz w:val="20"/>
          <w:szCs w:val="20"/>
        </w:rPr>
        <w:t>The study is widely used by local authorities, combined authorities</w:t>
      </w:r>
      <w:r w:rsidR="00373AB5">
        <w:rPr>
          <w:sz w:val="20"/>
          <w:szCs w:val="20"/>
        </w:rPr>
        <w:t>, NHS partnerships</w:t>
      </w:r>
      <w:r w:rsidRPr="006C32AE">
        <w:rPr>
          <w:sz w:val="20"/>
          <w:szCs w:val="20"/>
        </w:rPr>
        <w:t xml:space="preserve"> and VCSE infrastructure organisations in their strategic work and policy formulation. For </w:t>
      </w:r>
      <w:r w:rsidR="005556E5">
        <w:rPr>
          <w:sz w:val="20"/>
          <w:szCs w:val="20"/>
        </w:rPr>
        <w:t xml:space="preserve">an </w:t>
      </w:r>
      <w:r w:rsidRPr="006C32AE">
        <w:rPr>
          <w:sz w:val="20"/>
          <w:szCs w:val="20"/>
        </w:rPr>
        <w:t>example of the full set of findings from the 2019 study at a regional level, see this report:</w:t>
      </w:r>
    </w:p>
    <w:p w14:paraId="7639793E" w14:textId="15ED3923" w:rsidR="00310FE5" w:rsidRPr="00310FE5" w:rsidRDefault="00CB65C7" w:rsidP="00B51EA2">
      <w:pPr>
        <w:spacing w:after="80"/>
        <w:rPr>
          <w:rFonts w:cs="Arial"/>
          <w:color w:val="3333FF"/>
          <w:sz w:val="16"/>
          <w:szCs w:val="16"/>
        </w:rPr>
      </w:pPr>
      <w:hyperlink r:id="rId7" w:history="1">
        <w:r w:rsidR="00310FE5" w:rsidRPr="00310FE5">
          <w:rPr>
            <w:rFonts w:cs="Arial"/>
            <w:color w:val="3333FF"/>
            <w:sz w:val="16"/>
            <w:szCs w:val="16"/>
            <w:u w:val="single"/>
            <w:shd w:val="clear" w:color="auto" w:fill="FFFFFF"/>
          </w:rPr>
          <w:t>https://www.communityfoundation.org.uk/wordpress/wp-content/uploads/2020/05/THIRD-SECTOR-TRENDS-IN-NORTH-EAST-ENGLAND-2020-1-1.pdf</w:t>
        </w:r>
      </w:hyperlink>
      <w:r w:rsidR="00310FE5" w:rsidRPr="00310FE5">
        <w:rPr>
          <w:rFonts w:cs="Arial"/>
          <w:color w:val="3333FF"/>
          <w:sz w:val="16"/>
          <w:szCs w:val="16"/>
        </w:rPr>
        <w:t xml:space="preserve"> </w:t>
      </w:r>
    </w:p>
    <w:p w14:paraId="35F7E67F" w14:textId="7C2A1A22" w:rsidR="00311746" w:rsidRPr="00310FE5" w:rsidRDefault="00EF25A4" w:rsidP="00B51EA2">
      <w:pPr>
        <w:spacing w:after="80"/>
        <w:rPr>
          <w:sz w:val="18"/>
          <w:szCs w:val="18"/>
        </w:rPr>
      </w:pPr>
      <w:r w:rsidRPr="00310FE5">
        <w:rPr>
          <w:sz w:val="18"/>
          <w:szCs w:val="18"/>
        </w:rPr>
        <w:t xml:space="preserve">Data are </w:t>
      </w:r>
      <w:r w:rsidR="005556E5" w:rsidRPr="00310FE5">
        <w:rPr>
          <w:sz w:val="18"/>
          <w:szCs w:val="18"/>
        </w:rPr>
        <w:t xml:space="preserve">also </w:t>
      </w:r>
      <w:r w:rsidRPr="00310FE5">
        <w:rPr>
          <w:sz w:val="18"/>
          <w:szCs w:val="18"/>
        </w:rPr>
        <w:t>used for more in-depth work, for example, r</w:t>
      </w:r>
      <w:r w:rsidR="007E0BB7" w:rsidRPr="00310FE5">
        <w:rPr>
          <w:sz w:val="18"/>
          <w:szCs w:val="18"/>
        </w:rPr>
        <w:t xml:space="preserve">ecent work </w:t>
      </w:r>
      <w:r w:rsidR="00546143" w:rsidRPr="00310FE5">
        <w:rPr>
          <w:sz w:val="18"/>
          <w:szCs w:val="18"/>
        </w:rPr>
        <w:t>in Yorkshire &amp; Humber to show how much energy the sector has, where it focuses its activities and how much impact it achieved.</w:t>
      </w:r>
    </w:p>
    <w:p w14:paraId="38ABAC4F" w14:textId="50A43FDC" w:rsidR="00546143" w:rsidRPr="00CA7470" w:rsidRDefault="00CB65C7" w:rsidP="00B51EA2">
      <w:pPr>
        <w:spacing w:after="80"/>
        <w:rPr>
          <w:sz w:val="16"/>
          <w:szCs w:val="16"/>
        </w:rPr>
      </w:pPr>
      <w:hyperlink r:id="rId8" w:history="1">
        <w:r w:rsidR="00546143" w:rsidRPr="00CA7470">
          <w:rPr>
            <w:rStyle w:val="Hyperlink"/>
            <w:sz w:val="16"/>
            <w:szCs w:val="16"/>
          </w:rPr>
          <w:t>The difference the third sector makes - St Chad's College Durham (stchads.ac.uk)</w:t>
        </w:r>
      </w:hyperlink>
      <w:r w:rsidR="00546143" w:rsidRPr="00CA7470">
        <w:rPr>
          <w:sz w:val="16"/>
          <w:szCs w:val="16"/>
        </w:rPr>
        <w:t xml:space="preserve"> and </w:t>
      </w:r>
      <w:hyperlink r:id="rId9" w:history="1">
        <w:r w:rsidR="00311746" w:rsidRPr="00CA7470">
          <w:rPr>
            <w:rStyle w:val="Hyperlink"/>
            <w:sz w:val="16"/>
            <w:szCs w:val="16"/>
          </w:rPr>
          <w:t>The contribution of the VCSE sector to health and wellbeing in Humber, Coast and Vale - St Chad's College Durham (stchads.ac.uk)</w:t>
        </w:r>
      </w:hyperlink>
      <w:r w:rsidR="00311746" w:rsidRPr="00CA7470">
        <w:rPr>
          <w:sz w:val="16"/>
          <w:szCs w:val="16"/>
        </w:rPr>
        <w:t xml:space="preserve">, </w:t>
      </w:r>
      <w:r w:rsidR="00890055" w:rsidRPr="00CA7470">
        <w:rPr>
          <w:sz w:val="16"/>
          <w:szCs w:val="16"/>
        </w:rPr>
        <w:t xml:space="preserve"> </w:t>
      </w:r>
    </w:p>
    <w:p w14:paraId="2A307AF6" w14:textId="4F4B6F3E" w:rsidR="00890055" w:rsidRPr="006C32AE" w:rsidRDefault="00546143" w:rsidP="00B51EA2">
      <w:pPr>
        <w:spacing w:after="80"/>
        <w:rPr>
          <w:sz w:val="20"/>
          <w:szCs w:val="20"/>
        </w:rPr>
      </w:pPr>
      <w:r w:rsidRPr="00546143">
        <w:rPr>
          <w:sz w:val="20"/>
          <w:szCs w:val="20"/>
        </w:rPr>
        <w:t>Data have also been u</w:t>
      </w:r>
      <w:r w:rsidR="00EF25A4" w:rsidRPr="006C32AE">
        <w:rPr>
          <w:sz w:val="20"/>
          <w:szCs w:val="20"/>
        </w:rPr>
        <w:t xml:space="preserve">sed in Cornwall </w:t>
      </w:r>
      <w:r>
        <w:rPr>
          <w:sz w:val="20"/>
          <w:szCs w:val="20"/>
        </w:rPr>
        <w:t xml:space="preserve">and Isles of Scilly </w:t>
      </w:r>
      <w:r w:rsidR="00EF25A4" w:rsidRPr="006C32AE">
        <w:rPr>
          <w:sz w:val="20"/>
          <w:szCs w:val="20"/>
        </w:rPr>
        <w:t xml:space="preserve">to assess the strengths of </w:t>
      </w:r>
      <w:r w:rsidR="00373AB5">
        <w:rPr>
          <w:sz w:val="20"/>
          <w:szCs w:val="20"/>
        </w:rPr>
        <w:t xml:space="preserve">the VCSE </w:t>
      </w:r>
      <w:r w:rsidR="00EF25A4" w:rsidRPr="006C32AE">
        <w:rPr>
          <w:sz w:val="20"/>
          <w:szCs w:val="20"/>
        </w:rPr>
        <w:t xml:space="preserve">sector to support the development of strategies to align sector activity with NHS England priorities for Integrated Care </w:t>
      </w:r>
      <w:r w:rsidR="00890055" w:rsidRPr="006C32AE">
        <w:rPr>
          <w:sz w:val="20"/>
          <w:szCs w:val="20"/>
        </w:rPr>
        <w:t>Systems. The first of a series of reports can be found here:</w:t>
      </w:r>
    </w:p>
    <w:p w14:paraId="33FDB9BD" w14:textId="6B51E5AB" w:rsidR="006C32AE" w:rsidRPr="00CA7470" w:rsidRDefault="00CB65C7" w:rsidP="00CF15E0">
      <w:pPr>
        <w:rPr>
          <w:color w:val="0000FF"/>
          <w:sz w:val="16"/>
          <w:szCs w:val="16"/>
          <w:u w:val="single"/>
        </w:rPr>
      </w:pPr>
      <w:hyperlink r:id="rId10" w:history="1">
        <w:r w:rsidR="00890055" w:rsidRPr="00CA7470">
          <w:rPr>
            <w:color w:val="0000FF"/>
            <w:sz w:val="16"/>
            <w:szCs w:val="16"/>
            <w:u w:val="single"/>
          </w:rPr>
          <w:t>Voluntary sector dynamics in Cornwall and Isles of Scilly - St Chad's College Durham (stchads.ac.uk)</w:t>
        </w:r>
      </w:hyperlink>
      <w:r w:rsidR="00CF15E0" w:rsidRPr="00CA7470">
        <w:rPr>
          <w:color w:val="0000FF"/>
          <w:sz w:val="16"/>
          <w:szCs w:val="16"/>
          <w:u w:val="single"/>
        </w:rPr>
        <w:t xml:space="preserve">  </w:t>
      </w:r>
    </w:p>
    <w:p w14:paraId="23952593" w14:textId="6D97D074" w:rsidR="00CF15E0" w:rsidRPr="00D21F52" w:rsidRDefault="00CF15E0" w:rsidP="00CF15E0">
      <w:pPr>
        <w:rPr>
          <w:sz w:val="20"/>
          <w:szCs w:val="20"/>
        </w:rPr>
      </w:pPr>
      <w:r w:rsidRPr="00D21F52">
        <w:rPr>
          <w:sz w:val="20"/>
          <w:szCs w:val="20"/>
        </w:rPr>
        <w:t>It has also been possible to do in-depth work on aspects of sector structure and activity which has previously been neglected. Including, for example, issues associated with diversity in sector leadership:</w:t>
      </w:r>
    </w:p>
    <w:p w14:paraId="49E97956" w14:textId="08A05221" w:rsidR="00CF15E0" w:rsidRPr="00CA7470" w:rsidRDefault="00CB65C7" w:rsidP="00CF15E0">
      <w:pPr>
        <w:rPr>
          <w:sz w:val="16"/>
          <w:szCs w:val="16"/>
        </w:rPr>
      </w:pPr>
      <w:hyperlink r:id="rId11" w:history="1">
        <w:r w:rsidR="00CF15E0" w:rsidRPr="00CA7470">
          <w:rPr>
            <w:color w:val="0000FF"/>
            <w:sz w:val="16"/>
            <w:szCs w:val="16"/>
            <w:u w:val="single"/>
          </w:rPr>
          <w:t>Diversity and inclusion in Third Sector leadership: why is it not happening? - St Chad's College Durham (stchads.ac.uk)</w:t>
        </w:r>
      </w:hyperlink>
    </w:p>
    <w:p w14:paraId="67E535D1" w14:textId="77777777" w:rsidR="00CF15E0" w:rsidRPr="00D21F52" w:rsidRDefault="00CF15E0" w:rsidP="00CF15E0">
      <w:pPr>
        <w:rPr>
          <w:sz w:val="20"/>
          <w:szCs w:val="20"/>
        </w:rPr>
      </w:pPr>
      <w:r w:rsidRPr="00D21F52">
        <w:rPr>
          <w:sz w:val="20"/>
          <w:szCs w:val="20"/>
        </w:rPr>
        <w:t>and how the VCSE sector works with the private sector:</w:t>
      </w:r>
    </w:p>
    <w:p w14:paraId="3E38F458" w14:textId="7E6B285C" w:rsidR="00CF15E0" w:rsidRPr="00CA7470" w:rsidRDefault="00CB65C7" w:rsidP="00CF15E0">
      <w:pPr>
        <w:rPr>
          <w:sz w:val="16"/>
          <w:szCs w:val="16"/>
        </w:rPr>
        <w:sectPr w:rsidR="00CF15E0" w:rsidRPr="00CA7470" w:rsidSect="006C32AE">
          <w:type w:val="continuous"/>
          <w:pgSz w:w="11906" w:h="16838"/>
          <w:pgMar w:top="720" w:right="720" w:bottom="720" w:left="720" w:header="708" w:footer="708" w:gutter="0"/>
          <w:cols w:num="2" w:sep="1" w:space="397"/>
          <w:docGrid w:linePitch="360"/>
        </w:sectPr>
      </w:pPr>
      <w:hyperlink r:id="rId12" w:history="1">
        <w:r w:rsidR="00CF15E0" w:rsidRPr="00CA7470">
          <w:rPr>
            <w:color w:val="0000FF"/>
            <w:sz w:val="16"/>
            <w:szCs w:val="16"/>
            <w:u w:val="single"/>
          </w:rPr>
          <w:t>Going the extra mile, how business supports charities - St Chad's College Durham (stchads.ac.uk)</w:t>
        </w:r>
      </w:hyperlink>
    </w:p>
    <w:p w14:paraId="43CCF021" w14:textId="0F3748D8" w:rsidR="006C32AE" w:rsidRDefault="006C32AE" w:rsidP="00B51EA2">
      <w:pPr>
        <w:spacing w:after="80"/>
        <w:rPr>
          <w:b/>
          <w:bCs/>
          <w:sz w:val="18"/>
          <w:szCs w:val="18"/>
        </w:rPr>
      </w:pPr>
    </w:p>
    <w:p w14:paraId="56F23A18" w14:textId="4B6B9C51" w:rsidR="00D21F52" w:rsidRPr="00A27600" w:rsidRDefault="00D21F52" w:rsidP="00B51EA2">
      <w:pPr>
        <w:spacing w:after="80"/>
        <w:rPr>
          <w:b/>
          <w:bCs/>
          <w:color w:val="570FF9"/>
          <w:sz w:val="28"/>
          <w:szCs w:val="28"/>
        </w:rPr>
      </w:pPr>
      <w:r w:rsidRPr="007E7CE1">
        <w:rPr>
          <w:b/>
          <w:bCs/>
          <w:color w:val="2F5496" w:themeColor="accent1" w:themeShade="BF"/>
          <w:sz w:val="32"/>
          <w:szCs w:val="32"/>
        </w:rPr>
        <w:t>To start the survey clink this link:</w:t>
      </w:r>
      <w:r w:rsidR="005632AE">
        <w:rPr>
          <w:b/>
          <w:bCs/>
          <w:color w:val="2F5496" w:themeColor="accent1" w:themeShade="BF"/>
          <w:sz w:val="32"/>
          <w:szCs w:val="32"/>
        </w:rPr>
        <w:t xml:space="preserve"> </w:t>
      </w:r>
      <w:hyperlink r:id="rId13" w:history="1">
        <w:r w:rsidR="00CA7470" w:rsidRPr="00CA7470">
          <w:rPr>
            <w:rStyle w:val="Hyperlink"/>
            <w:b/>
            <w:bCs/>
            <w:sz w:val="32"/>
            <w:szCs w:val="32"/>
          </w:rPr>
          <w:t>Join the Third Sector Trends survey here</w:t>
        </w:r>
      </w:hyperlink>
    </w:p>
    <w:p w14:paraId="7E57DA28" w14:textId="6F1A4AF1" w:rsidR="000D46AB" w:rsidRPr="00D21F52" w:rsidRDefault="00D21F52" w:rsidP="00B51EA2">
      <w:pPr>
        <w:spacing w:after="80"/>
        <w:rPr>
          <w:b/>
          <w:bCs/>
          <w:sz w:val="18"/>
          <w:szCs w:val="18"/>
        </w:rPr>
      </w:pPr>
      <w:r>
        <w:rPr>
          <w:noProof/>
        </w:rPr>
        <w:drawing>
          <wp:inline distT="0" distB="0" distL="0" distR="0" wp14:anchorId="5EB9F124" wp14:editId="1E64DA02">
            <wp:extent cx="6616775" cy="1085516"/>
            <wp:effectExtent l="0" t="0" r="0" b="63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6766370" cy="1110058"/>
                    </a:xfrm>
                    <a:prstGeom prst="rect">
                      <a:avLst/>
                    </a:prstGeom>
                  </pic:spPr>
                </pic:pic>
              </a:graphicData>
            </a:graphic>
          </wp:inline>
        </w:drawing>
      </w:r>
      <w:r w:rsidR="00B51EA2" w:rsidRPr="00D21F52">
        <w:rPr>
          <w:b/>
          <w:bCs/>
          <w:sz w:val="18"/>
          <w:szCs w:val="18"/>
        </w:rPr>
        <w:t>For further information, please contact Professor Tony Chapman, Director of Policy&amp;Practice, St Chad</w:t>
      </w:r>
      <w:r w:rsidR="008B72C7" w:rsidRPr="00D21F52">
        <w:rPr>
          <w:b/>
          <w:bCs/>
          <w:sz w:val="18"/>
          <w:szCs w:val="18"/>
        </w:rPr>
        <w:t>’</w:t>
      </w:r>
      <w:r w:rsidR="00B51EA2" w:rsidRPr="00D21F52">
        <w:rPr>
          <w:b/>
          <w:bCs/>
          <w:sz w:val="18"/>
          <w:szCs w:val="18"/>
        </w:rPr>
        <w:t xml:space="preserve">s College, Durham University, Email: </w:t>
      </w:r>
      <w:hyperlink r:id="rId15" w:history="1">
        <w:r w:rsidR="00B51EA2" w:rsidRPr="00D21F52">
          <w:rPr>
            <w:rStyle w:val="Hyperlink"/>
            <w:b/>
            <w:bCs/>
            <w:sz w:val="18"/>
            <w:szCs w:val="18"/>
          </w:rPr>
          <w:t>tony.chapman@durham.ac.uk</w:t>
        </w:r>
      </w:hyperlink>
      <w:r w:rsidRPr="00D21F52">
        <w:rPr>
          <w:rStyle w:val="Hyperlink"/>
          <w:b/>
          <w:bCs/>
          <w:sz w:val="18"/>
          <w:szCs w:val="18"/>
        </w:rPr>
        <w:t>.</w:t>
      </w:r>
    </w:p>
    <w:p w14:paraId="132BCE66" w14:textId="55EC8112" w:rsidR="00C37A8B" w:rsidRPr="00B10BA2" w:rsidRDefault="00D21F52">
      <w:pPr>
        <w:spacing w:after="80"/>
      </w:pPr>
      <w:r w:rsidRPr="00D21F52">
        <w:rPr>
          <w:b/>
          <w:bCs/>
          <w:sz w:val="18"/>
          <w:szCs w:val="18"/>
        </w:rPr>
        <w:t xml:space="preserve">To get access to all the study’s reports, visit this website: </w:t>
      </w:r>
      <w:hyperlink r:id="rId16" w:history="1">
        <w:r w:rsidRPr="00D21F52">
          <w:rPr>
            <w:b/>
            <w:bCs/>
            <w:color w:val="0000FF"/>
            <w:sz w:val="18"/>
            <w:szCs w:val="18"/>
            <w:u w:val="single"/>
          </w:rPr>
          <w:t>Third sector trends research | Community Foundation</w:t>
        </w:r>
      </w:hyperlink>
    </w:p>
    <w:sectPr w:rsidR="00C37A8B" w:rsidRPr="00B10BA2" w:rsidSect="006C32AE">
      <w:type w:val="continuous"/>
      <w:pgSz w:w="11906" w:h="16838"/>
      <w:pgMar w:top="720" w:right="720" w:bottom="720" w:left="720" w:header="708" w:footer="708" w:gutter="0"/>
      <w:cols w:sep="1" w:space="39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Zhongsong">
    <w:altName w:val="STZhongsong"/>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829D8"/>
    <w:multiLevelType w:val="hybridMultilevel"/>
    <w:tmpl w:val="FEB40422"/>
    <w:lvl w:ilvl="0" w:tplc="08090005">
      <w:start w:val="1"/>
      <w:numFmt w:val="bullet"/>
      <w:lvlText w:val=""/>
      <w:lvlJc w:val="left"/>
      <w:pPr>
        <w:ind w:left="784" w:hanging="360"/>
      </w:pPr>
      <w:rPr>
        <w:rFonts w:ascii="Wingdings" w:hAnsi="Wingdings"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1" w15:restartNumberingAfterBreak="0">
    <w:nsid w:val="3970412D"/>
    <w:multiLevelType w:val="hybridMultilevel"/>
    <w:tmpl w:val="4916432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7C2EA0"/>
    <w:multiLevelType w:val="hybridMultilevel"/>
    <w:tmpl w:val="A38E09B8"/>
    <w:lvl w:ilvl="0" w:tplc="08090005">
      <w:start w:val="1"/>
      <w:numFmt w:val="bullet"/>
      <w:lvlText w:val=""/>
      <w:lvlJc w:val="left"/>
      <w:pPr>
        <w:ind w:left="720" w:hanging="360"/>
      </w:pPr>
      <w:rPr>
        <w:rFonts w:ascii="Wingdings" w:hAnsi="Wingdings" w:hint="default"/>
        <w:sz w:val="24"/>
        <w:u w:color="2F5496"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B33C1B"/>
    <w:multiLevelType w:val="hybridMultilevel"/>
    <w:tmpl w:val="F7C00FDA"/>
    <w:lvl w:ilvl="0" w:tplc="441C5CDE">
      <w:start w:val="1"/>
      <w:numFmt w:val="bullet"/>
      <w:lvlText w:val="▉"/>
      <w:lvlJc w:val="left"/>
      <w:pPr>
        <w:ind w:left="360" w:hanging="360"/>
      </w:pPr>
      <w:rPr>
        <w:rFonts w:ascii="STZhongsong" w:eastAsia="STZhongsong" w:hAnsi="STZhongsong" w:hint="eastAsia"/>
        <w:color w:val="2F5496" w:themeColor="accent1" w:themeShade="BF"/>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7E0B355F"/>
    <w:multiLevelType w:val="hybridMultilevel"/>
    <w:tmpl w:val="23C00002"/>
    <w:lvl w:ilvl="0" w:tplc="AD80A506">
      <w:start w:val="1"/>
      <w:numFmt w:val="bullet"/>
      <w:lvlText w:val="■"/>
      <w:lvlJc w:val="left"/>
      <w:pPr>
        <w:ind w:left="360" w:hanging="360"/>
      </w:pPr>
      <w:rPr>
        <w:rFonts w:ascii="STZhongsong" w:eastAsia="STZhongsong" w:hAnsi="STZhongsong" w:hint="eastAsia"/>
        <w:color w:val="2F5496" w:themeColor="accent1" w:themeShade="BF"/>
        <w:sz w:val="16"/>
        <w:szCs w:val="1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998652214">
    <w:abstractNumId w:val="2"/>
  </w:num>
  <w:num w:numId="2" w16cid:durableId="1253199834">
    <w:abstractNumId w:val="1"/>
  </w:num>
  <w:num w:numId="3" w16cid:durableId="926155389">
    <w:abstractNumId w:val="0"/>
  </w:num>
  <w:num w:numId="4" w16cid:durableId="390542318">
    <w:abstractNumId w:val="3"/>
  </w:num>
  <w:num w:numId="5" w16cid:durableId="9761040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562"/>
    <w:rsid w:val="00037B15"/>
    <w:rsid w:val="00056C7E"/>
    <w:rsid w:val="000A389E"/>
    <w:rsid w:val="000A40CB"/>
    <w:rsid w:val="000D46AB"/>
    <w:rsid w:val="0014413B"/>
    <w:rsid w:val="002F4A7E"/>
    <w:rsid w:val="00310FE5"/>
    <w:rsid w:val="00311746"/>
    <w:rsid w:val="003328A2"/>
    <w:rsid w:val="00373AB5"/>
    <w:rsid w:val="00375A73"/>
    <w:rsid w:val="00387562"/>
    <w:rsid w:val="003960E7"/>
    <w:rsid w:val="003D698C"/>
    <w:rsid w:val="00404BEE"/>
    <w:rsid w:val="00460249"/>
    <w:rsid w:val="00546143"/>
    <w:rsid w:val="005556E5"/>
    <w:rsid w:val="005632AE"/>
    <w:rsid w:val="005D7C7A"/>
    <w:rsid w:val="006278AC"/>
    <w:rsid w:val="00650FB9"/>
    <w:rsid w:val="006630A4"/>
    <w:rsid w:val="0069121C"/>
    <w:rsid w:val="006C244A"/>
    <w:rsid w:val="006C32AE"/>
    <w:rsid w:val="0071082B"/>
    <w:rsid w:val="00723984"/>
    <w:rsid w:val="007E0BB7"/>
    <w:rsid w:val="007E7CE1"/>
    <w:rsid w:val="0083568C"/>
    <w:rsid w:val="008426ED"/>
    <w:rsid w:val="00890055"/>
    <w:rsid w:val="008B72C7"/>
    <w:rsid w:val="008E3D5C"/>
    <w:rsid w:val="00953A77"/>
    <w:rsid w:val="009E0108"/>
    <w:rsid w:val="00A27600"/>
    <w:rsid w:val="00B10BA2"/>
    <w:rsid w:val="00B3534B"/>
    <w:rsid w:val="00B51EA2"/>
    <w:rsid w:val="00B63095"/>
    <w:rsid w:val="00C37A8B"/>
    <w:rsid w:val="00CA09CA"/>
    <w:rsid w:val="00CA7470"/>
    <w:rsid w:val="00CB65C7"/>
    <w:rsid w:val="00CF15E0"/>
    <w:rsid w:val="00D21F52"/>
    <w:rsid w:val="00D8498B"/>
    <w:rsid w:val="00E05841"/>
    <w:rsid w:val="00E14177"/>
    <w:rsid w:val="00E62506"/>
    <w:rsid w:val="00E702AD"/>
    <w:rsid w:val="00E72404"/>
    <w:rsid w:val="00E844CB"/>
    <w:rsid w:val="00EF25A4"/>
    <w:rsid w:val="00F043E8"/>
    <w:rsid w:val="00F246CE"/>
    <w:rsid w:val="00F3393C"/>
    <w:rsid w:val="00F664DF"/>
    <w:rsid w:val="00FA5990"/>
    <w:rsid w:val="00FB62A8"/>
    <w:rsid w:val="00FE18C5"/>
    <w:rsid w:val="00FE24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54805"/>
  <w15:chartTrackingRefBased/>
  <w15:docId w15:val="{3E731B22-3B28-4A56-8ADB-345F27D5E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506"/>
    <w:pPr>
      <w:spacing w:after="120" w:line="240" w:lineRule="auto"/>
    </w:pPr>
    <w:rPr>
      <w:rFonts w:ascii="Arial" w:hAnsi="Arial"/>
    </w:rPr>
  </w:style>
  <w:style w:type="paragraph" w:styleId="Heading2">
    <w:name w:val="heading 2"/>
    <w:basedOn w:val="Normal"/>
    <w:next w:val="Normal"/>
    <w:link w:val="Heading2Char"/>
    <w:uiPriority w:val="9"/>
    <w:unhideWhenUsed/>
    <w:qFormat/>
    <w:rsid w:val="00FE18C5"/>
    <w:pPr>
      <w:keepNext/>
      <w:keepLines/>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FE18C5"/>
    <w:pPr>
      <w:keepNext/>
      <w:keepLines/>
      <w:outlineLvl w:val="2"/>
    </w:pPr>
    <w:rPr>
      <w:rFonts w:eastAsiaTheme="majorEastAsia" w:cstheme="majorBidi"/>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E18C5"/>
    <w:rPr>
      <w:rFonts w:ascii="Arial" w:eastAsiaTheme="majorEastAsia" w:hAnsi="Arial" w:cstheme="majorBidi"/>
      <w:b/>
      <w:sz w:val="32"/>
      <w:szCs w:val="26"/>
      <w:lang w:eastAsia="en-GB"/>
    </w:rPr>
  </w:style>
  <w:style w:type="character" w:customStyle="1" w:styleId="Heading3Char">
    <w:name w:val="Heading 3 Char"/>
    <w:basedOn w:val="DefaultParagraphFont"/>
    <w:link w:val="Heading3"/>
    <w:uiPriority w:val="9"/>
    <w:rsid w:val="00FE18C5"/>
    <w:rPr>
      <w:rFonts w:ascii="Arial" w:eastAsiaTheme="majorEastAsia" w:hAnsi="Arial" w:cstheme="majorBidi"/>
      <w:b/>
      <w:i/>
      <w:sz w:val="28"/>
      <w:szCs w:val="24"/>
      <w:lang w:eastAsia="en-GB"/>
    </w:rPr>
  </w:style>
  <w:style w:type="paragraph" w:styleId="ListParagraph">
    <w:name w:val="List Paragraph"/>
    <w:basedOn w:val="Normal"/>
    <w:uiPriority w:val="34"/>
    <w:qFormat/>
    <w:rsid w:val="00D8498B"/>
    <w:pPr>
      <w:ind w:left="720"/>
      <w:contextualSpacing/>
    </w:pPr>
  </w:style>
  <w:style w:type="character" w:styleId="Hyperlink">
    <w:name w:val="Hyperlink"/>
    <w:basedOn w:val="DefaultParagraphFont"/>
    <w:uiPriority w:val="99"/>
    <w:unhideWhenUsed/>
    <w:rsid w:val="00311746"/>
    <w:rPr>
      <w:color w:val="0000FF"/>
      <w:u w:val="single"/>
    </w:rPr>
  </w:style>
  <w:style w:type="character" w:styleId="UnresolvedMention">
    <w:name w:val="Unresolved Mention"/>
    <w:basedOn w:val="DefaultParagraphFont"/>
    <w:uiPriority w:val="99"/>
    <w:semiHidden/>
    <w:unhideWhenUsed/>
    <w:rsid w:val="00B51EA2"/>
    <w:rPr>
      <w:color w:val="605E5C"/>
      <w:shd w:val="clear" w:color="auto" w:fill="E1DFDD"/>
    </w:rPr>
  </w:style>
  <w:style w:type="table" w:styleId="TableGrid">
    <w:name w:val="Table Grid"/>
    <w:basedOn w:val="TableNormal"/>
    <w:uiPriority w:val="39"/>
    <w:rsid w:val="006C3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276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chads.ac.uk/research/research-news/the-difference-the-third-sector-makes/" TargetMode="External"/><Relationship Id="rId13" Type="http://schemas.openxmlformats.org/officeDocument/2006/relationships/hyperlink" Target="https://durham.onlinesurveys.ac.uk/third-sector-trends-in-england-and-wales-202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communityfoundation.org.uk/wordpress/wp-content/uploads/2020/05/THIRD-SECTOR-TRENDS-IN-NORTH-EAST-ENGLAND-2020-1-1.pdf" TargetMode="External"/><Relationship Id="rId12" Type="http://schemas.openxmlformats.org/officeDocument/2006/relationships/hyperlink" Target="https://www.stchads.ac.uk/research/research-news/going-the-extra-mile-how-business-supports-chariti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ommunityfoundation.org.uk/knowledge-and-leadership/third-sector-trends-research/" TargetMode="External"/><Relationship Id="rId1" Type="http://schemas.openxmlformats.org/officeDocument/2006/relationships/customXml" Target="../customXml/item1.xml"/><Relationship Id="rId6" Type="http://schemas.openxmlformats.org/officeDocument/2006/relationships/image" Target="media/image1.tiff"/><Relationship Id="rId11" Type="http://schemas.openxmlformats.org/officeDocument/2006/relationships/hyperlink" Target="https://www.stchads.ac.uk/research/research-news/diversity-and-inclusion-in-third-sector-leadership-why-is-it-not-happening/" TargetMode="External"/><Relationship Id="rId5" Type="http://schemas.openxmlformats.org/officeDocument/2006/relationships/webSettings" Target="webSettings.xml"/><Relationship Id="rId15" Type="http://schemas.openxmlformats.org/officeDocument/2006/relationships/hyperlink" Target="mailto:tony.chapman@durham.ac.uk" TargetMode="External"/><Relationship Id="rId10" Type="http://schemas.openxmlformats.org/officeDocument/2006/relationships/hyperlink" Target="https://www.stchads.ac.uk/uncategorised/voluntary-sector-dynamics-in-cornwall-and-isles-of-scilly/" TargetMode="External"/><Relationship Id="rId4" Type="http://schemas.openxmlformats.org/officeDocument/2006/relationships/settings" Target="settings.xml"/><Relationship Id="rId9" Type="http://schemas.openxmlformats.org/officeDocument/2006/relationships/hyperlink" Target="https://www.stchads.ac.uk/research/research-news/the-contribution-of-the-vcse-sector-to-health-and-wellbeing-in-humber-coast-and-vale/" TargetMode="Externa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A1CFB-3845-4097-9B72-1C1886FF5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794</Words>
  <Characters>4529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Chapman</dc:creator>
  <cp:keywords/>
  <dc:description/>
  <cp:lastModifiedBy>Tony Chapman</cp:lastModifiedBy>
  <cp:revision>8</cp:revision>
  <cp:lastPrinted>2022-05-17T10:36:00Z</cp:lastPrinted>
  <dcterms:created xsi:type="dcterms:W3CDTF">2022-05-18T07:12:00Z</dcterms:created>
  <dcterms:modified xsi:type="dcterms:W3CDTF">2022-06-05T12:38:00Z</dcterms:modified>
</cp:coreProperties>
</file>